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353"/>
        <w:gridCol w:w="4854"/>
      </w:tblGrid>
      <w:tr w:rsidR="00B51AD0" w:rsidRPr="00AD4915" w14:paraId="241B72DC" w14:textId="77777777" w:rsidTr="0017666E">
        <w:tc>
          <w:tcPr>
            <w:tcW w:w="4853" w:type="dxa"/>
          </w:tcPr>
          <w:p w14:paraId="74102D1D" w14:textId="77777777" w:rsidR="00B51AD0" w:rsidRPr="00AD4915" w:rsidRDefault="00B51AD0" w:rsidP="00AF72A7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</w:p>
        </w:tc>
        <w:tc>
          <w:tcPr>
            <w:tcW w:w="5353" w:type="dxa"/>
          </w:tcPr>
          <w:p w14:paraId="2B9FAF31" w14:textId="77777777" w:rsidR="00B51AD0" w:rsidRPr="00AD4915" w:rsidRDefault="00B51AD0" w:rsidP="00AF72A7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</w:p>
        </w:tc>
        <w:tc>
          <w:tcPr>
            <w:tcW w:w="4854" w:type="dxa"/>
          </w:tcPr>
          <w:p w14:paraId="5CF73815" w14:textId="464E0C19" w:rsidR="00B51AD0" w:rsidRPr="00AD4915" w:rsidRDefault="00CE196D" w:rsidP="00AF72A7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TASDIQLAYMAN</w:t>
            </w:r>
          </w:p>
          <w:p w14:paraId="575353DC" w14:textId="32142B83" w:rsidR="005C0A25" w:rsidRPr="00AD4915" w:rsidRDefault="00CE196D" w:rsidP="00AF72A7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Davlat</w:t>
            </w:r>
            <w:r w:rsidR="00B51AD0"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 </w:t>
            </w:r>
            <w:r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aktivlarini</w:t>
            </w:r>
            <w:r w:rsidR="00B51AD0"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 </w:t>
            </w:r>
            <w:r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boshqarish</w:t>
            </w:r>
            <w:r w:rsidR="00B51AD0"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 </w:t>
            </w:r>
            <w:r w:rsid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br/>
            </w:r>
            <w:r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agentligi</w:t>
            </w:r>
            <w:r w:rsidR="00B51AD0"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 </w:t>
            </w:r>
            <w:r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direktorining</w:t>
            </w:r>
            <w:r w:rsidR="005C0A25"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 </w:t>
            </w:r>
            <w:r w:rsid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br/>
            </w:r>
            <w:r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o‘rinbosari</w:t>
            </w:r>
          </w:p>
          <w:p w14:paraId="48F5891B" w14:textId="77777777" w:rsidR="005C0A25" w:rsidRPr="00AD4915" w:rsidRDefault="005C0A25" w:rsidP="00AF72A7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</w:p>
          <w:p w14:paraId="3AE37511" w14:textId="2A547DC5" w:rsidR="005C0A25" w:rsidRPr="00AD4915" w:rsidRDefault="005C0A25" w:rsidP="00AF72A7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__________________ </w:t>
            </w:r>
            <w:r w:rsidR="00CE196D"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A</w:t>
            </w:r>
            <w:r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. </w:t>
            </w:r>
            <w:r w:rsidR="00CE196D"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Miraliyev</w:t>
            </w:r>
          </w:p>
          <w:p w14:paraId="32B063CA" w14:textId="77777777" w:rsidR="00AD4915" w:rsidRDefault="00AD4915" w:rsidP="00AF72A7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</w:p>
          <w:p w14:paraId="2810B5CE" w14:textId="1F24F352" w:rsidR="005C0A25" w:rsidRPr="00AD4915" w:rsidRDefault="005C0A25" w:rsidP="00AF72A7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2023 </w:t>
            </w:r>
            <w:r w:rsidR="00CE196D"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yil</w:t>
            </w:r>
            <w:r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 _____-</w:t>
            </w:r>
            <w:r w:rsidR="00AD4915"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t>____</w:t>
            </w:r>
            <w:r w:rsidRPr="00AD4915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____</w:t>
            </w:r>
          </w:p>
        </w:tc>
      </w:tr>
    </w:tbl>
    <w:p w14:paraId="28B8972B" w14:textId="77777777" w:rsidR="00B51AD0" w:rsidRPr="00214B50" w:rsidRDefault="00B51AD0" w:rsidP="00AF72A7">
      <w:pPr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6DF4C8C3" w14:textId="6EA675D5" w:rsidR="00DA68D7" w:rsidRDefault="00AF72A7" w:rsidP="00AF72A7">
      <w:pPr>
        <w:jc w:val="center"/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</w:pPr>
      <w:r w:rsidRPr="00AD4915">
        <w:rPr>
          <w:rFonts w:ascii="Times New Roman" w:hAnsi="Times New Roman"/>
          <w:b/>
          <w:noProof/>
          <w:sz w:val="26"/>
          <w:szCs w:val="26"/>
          <w:lang w:val="uz-Cyrl-UZ"/>
        </w:rPr>
        <w:t>Oʻzbekiston Respublikasi Prezidentining 2023-yil 28-fevraldagi “</w:t>
      </w:r>
      <w:r w:rsidRPr="00AD4915"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  <w:t xml:space="preserve">2022-2026 yillarga mo‘ljallangan Yangi O‘zbekistonning </w:t>
      </w:r>
      <w:r w:rsidR="004567F6" w:rsidRPr="00AD4915"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  <w:br/>
      </w:r>
      <w:r w:rsidRPr="00AD4915"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  <w:t xml:space="preserve">taraqqiyot strategiyasini </w:t>
      </w:r>
      <w:r w:rsidR="00AD4915" w:rsidRPr="00AD4915"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  <w:t>“</w:t>
      </w:r>
      <w:r w:rsidRPr="00AD4915"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  <w:t>Insonga e’tibor va sifatli ta’lim yili</w:t>
      </w:r>
      <w:r w:rsidR="00AD4915" w:rsidRPr="00AD4915"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  <w:t>”</w:t>
      </w:r>
      <w:r w:rsidRPr="00AD4915"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  <w:t xml:space="preserve">da amalga oshirishga oid davlat dasturi to‘g‘risida” PF-27-son </w:t>
      </w:r>
      <w:r w:rsidR="004567F6" w:rsidRPr="00AD4915"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  <w:br/>
      </w:r>
      <w:r w:rsidRPr="00AD4915"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  <w:t>Farmoni</w:t>
      </w:r>
      <w:r w:rsidR="004567F6" w:rsidRPr="00AD4915"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  <w:t xml:space="preserve">ning 2.3-bandi ijrosini ta’minlash bo‘yicha </w:t>
      </w:r>
      <w:r w:rsidR="004567F6" w:rsidRPr="00AD4915"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  <w:br/>
        <w:t>C</w:t>
      </w:r>
      <w:r w:rsidR="00CE196D" w:rsidRPr="00AD4915"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  <w:t>H</w:t>
      </w:r>
      <w:r w:rsidR="004567F6" w:rsidRPr="00AD4915">
        <w:rPr>
          <w:rFonts w:ascii="Times New Roman" w:eastAsia="Calibri" w:hAnsi="Times New Roman"/>
          <w:b/>
          <w:bCs/>
          <w:noProof/>
          <w:sz w:val="26"/>
          <w:szCs w:val="26"/>
          <w:lang w:val="uz-Cyrl-UZ"/>
        </w:rPr>
        <w:t>ORA TADBIRLAR REJASI</w:t>
      </w:r>
    </w:p>
    <w:p w14:paraId="0303525C" w14:textId="77777777" w:rsidR="00214B50" w:rsidRPr="00214B50" w:rsidRDefault="00214B50" w:rsidP="00AF72A7">
      <w:pPr>
        <w:jc w:val="center"/>
        <w:rPr>
          <w:rFonts w:ascii="Times New Roman" w:eastAsia="Calibri" w:hAnsi="Times New Roman"/>
          <w:b/>
          <w:noProof/>
          <w:sz w:val="10"/>
          <w:szCs w:val="10"/>
          <w:lang w:val="uz-Cyrl-UZ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4961"/>
        <w:gridCol w:w="5245"/>
        <w:gridCol w:w="2126"/>
        <w:gridCol w:w="1985"/>
      </w:tblGrid>
      <w:tr w:rsidR="00AF72A7" w:rsidRPr="00AF72A7" w14:paraId="11653CCB" w14:textId="77777777" w:rsidTr="007E697B">
        <w:trPr>
          <w:tblHeader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71C3ACE6" w14:textId="35765BD4" w:rsidR="00AF72A7" w:rsidRPr="0017666E" w:rsidRDefault="0017666E" w:rsidP="00AD49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T/r</w:t>
            </w: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7ACCDD5A" w14:textId="10450F63" w:rsidR="00AF72A7" w:rsidRPr="00AF72A7" w:rsidRDefault="00AD4915" w:rsidP="00AD49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0A63A9">
              <w:rPr>
                <w:rFonts w:ascii="Times New Roman" w:hAnsi="Times New Roman" w:cs="Times New Roman"/>
                <w:b/>
                <w:lang w:val="uz-Cyrl-UZ"/>
              </w:rPr>
              <w:t>malga</w:t>
            </w:r>
            <w:r w:rsidR="000A63A9" w:rsidRPr="00AF72A7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0A63A9">
              <w:rPr>
                <w:rFonts w:ascii="Times New Roman" w:hAnsi="Times New Roman" w:cs="Times New Roman"/>
                <w:b/>
                <w:lang w:val="uz-Cyrl-UZ"/>
              </w:rPr>
              <w:t>oshiriladigan</w:t>
            </w:r>
            <w:r w:rsidR="000A63A9" w:rsidRPr="00AF72A7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0A63A9">
              <w:rPr>
                <w:rFonts w:ascii="Times New Roman" w:hAnsi="Times New Roman" w:cs="Times New Roman"/>
                <w:b/>
                <w:lang w:val="uz-Cyrl-UZ"/>
              </w:rPr>
              <w:t>tadbirlar</w:t>
            </w:r>
            <w:r w:rsidR="000A63A9" w:rsidRPr="00AF72A7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0A63A9">
              <w:rPr>
                <w:rFonts w:ascii="Times New Roman" w:hAnsi="Times New Roman" w:cs="Times New Roman"/>
                <w:b/>
                <w:lang w:val="uz-Cyrl-UZ"/>
              </w:rPr>
              <w:t>nomi</w:t>
            </w: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2054B1D2" w14:textId="0A075217" w:rsidR="00AF72A7" w:rsidRPr="00AF72A7" w:rsidRDefault="004567F6" w:rsidP="00AD49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Amalga</w:t>
            </w:r>
            <w:r w:rsidR="00453710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z-Cyrl-UZ"/>
              </w:rPr>
              <w:t>oshirish</w:t>
            </w:r>
            <w:r w:rsidR="00453710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z-Cyrl-UZ"/>
              </w:rPr>
              <w:t>mexanizmi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6C367CF5" w14:textId="41ADAB96" w:rsidR="00AF72A7" w:rsidRPr="00AF72A7" w:rsidRDefault="00AD4915" w:rsidP="00AD49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Ijro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m</w:t>
            </w:r>
            <w:r w:rsidR="00453710">
              <w:rPr>
                <w:rFonts w:ascii="Times New Roman" w:hAnsi="Times New Roman" w:cs="Times New Roman"/>
                <w:b/>
                <w:lang w:val="uz-Cyrl-UZ"/>
              </w:rPr>
              <w:t>uddati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164C1A3" w14:textId="39CDE199" w:rsidR="00AF72A7" w:rsidRPr="00AF72A7" w:rsidRDefault="00453710" w:rsidP="00AD49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Mas’ullar</w:t>
            </w:r>
          </w:p>
        </w:tc>
      </w:tr>
      <w:tr w:rsidR="009D471F" w:rsidRPr="007F40FC" w14:paraId="2484A888" w14:textId="77777777" w:rsidTr="007E697B">
        <w:tc>
          <w:tcPr>
            <w:tcW w:w="704" w:type="dxa"/>
          </w:tcPr>
          <w:p w14:paraId="34FF8A01" w14:textId="18BB27F1" w:rsidR="009D471F" w:rsidRPr="0017666E" w:rsidRDefault="005026A0" w:rsidP="00AF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17666E" w:rsidRPr="00176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961" w:type="dxa"/>
          </w:tcPr>
          <w:p w14:paraId="4A5E15B0" w14:textId="2E2EBC24" w:rsidR="009D471F" w:rsidRPr="007F40FC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xizmatlari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markazlari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Yagona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interaktiv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xizmatlari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portali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orqali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Baholovchilarni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malaka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sertifikatining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qayta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rasmiylashtirish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yo‘nalishi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bo‘yicha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elektron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xizmatini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ko‘rsatish</w:t>
            </w:r>
            <w:r w:rsidR="007A64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245" w:type="dxa"/>
          </w:tcPr>
          <w:p w14:paraId="1672EC2A" w14:textId="228E846D" w:rsidR="009D471F" w:rsidRPr="007F40FC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Elektron</w:t>
            </w:r>
            <w:r w:rsidR="009B485E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9B485E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xizmatini</w:t>
            </w:r>
            <w:r w:rsidR="009B485E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xizmatlari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markazlari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Yagona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interaktiv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xizmatlari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portali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orqali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baholovchilarning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so‘rovnomasiga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ko‘ra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baholovchi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malaka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sertifikatini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qayta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rasmiylashtirish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yo‘nalishi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bo‘yicha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ham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xizmatini</w:t>
            </w:r>
            <w:r w:rsidR="00453710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ko‘rsatishni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yo‘lga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qo‘yish</w:t>
            </w:r>
            <w:r w:rsidR="00AD49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26" w:type="dxa"/>
          </w:tcPr>
          <w:p w14:paraId="61300F9F" w14:textId="5EBC8ACC" w:rsidR="007F40FC" w:rsidRPr="002A66AB" w:rsidRDefault="007F40FC" w:rsidP="00AF7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2023 </w:t>
            </w:r>
            <w:r w:rsidR="004567F6"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yil</w:t>
            </w:r>
            <w:r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14:paraId="51DAB7F6" w14:textId="74A63D21" w:rsidR="009D471F" w:rsidRPr="002A66AB" w:rsidRDefault="004567F6" w:rsidP="00AF7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mart</w:t>
            </w:r>
            <w:r w:rsidR="007F40FC"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aprel</w:t>
            </w:r>
          </w:p>
        </w:tc>
        <w:tc>
          <w:tcPr>
            <w:tcW w:w="1985" w:type="dxa"/>
          </w:tcPr>
          <w:p w14:paraId="046B07E5" w14:textId="1E09B5C2" w:rsidR="009D471F" w:rsidRDefault="004567F6" w:rsidP="00AF7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</w:t>
            </w:r>
            <w:r w:rsidR="002925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Sulaymonov</w:t>
            </w:r>
          </w:p>
          <w:p w14:paraId="4ED034C1" w14:textId="4121EDBD" w:rsidR="0029253D" w:rsidRPr="007F40FC" w:rsidRDefault="004567F6" w:rsidP="00AF7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</w:t>
            </w:r>
            <w:r w:rsidR="002925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Xusanov</w:t>
            </w:r>
          </w:p>
        </w:tc>
      </w:tr>
      <w:tr w:rsidR="007F40FC" w:rsidRPr="007F40FC" w14:paraId="04C9F8E6" w14:textId="77777777" w:rsidTr="007E697B">
        <w:tc>
          <w:tcPr>
            <w:tcW w:w="704" w:type="dxa"/>
          </w:tcPr>
          <w:p w14:paraId="522DA76F" w14:textId="5EF80697" w:rsidR="007F40FC" w:rsidRPr="0017666E" w:rsidRDefault="005026A0" w:rsidP="00AF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 w:rsidR="0017666E" w:rsidRPr="0017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14:paraId="3C7D2212" w14:textId="7809E1F7" w:rsidR="007F40FC" w:rsidRPr="007F40FC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xizmatlari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markazlari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Yagona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interaktiv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xizmatlari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portali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orqali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Rieltorlarni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malaka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sertifikatining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qayta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rasmiylashtirish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yo‘nalishi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bo‘yicha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elektron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xizmatini</w:t>
            </w:r>
            <w:r w:rsidR="007F40FC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ko‘rsatish</w:t>
            </w:r>
            <w:r w:rsidR="007A64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245" w:type="dxa"/>
          </w:tcPr>
          <w:p w14:paraId="2790D0BA" w14:textId="507B0CBC" w:rsidR="007F40FC" w:rsidRPr="007F40FC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Elektron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xizmatini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xizmatlari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markazlari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Yagona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interaktiv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xizmatlari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portali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orqali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rieltorlarning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so‘rovnomasiga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ko‘ra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rieltor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malaka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sertifikatini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qayta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rasmiylashtirish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yo‘nalishi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bo‘yicha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ham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xizmatini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ko‘rsatishni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yo‘lga</w:t>
            </w:r>
            <w:r w:rsidR="00771B43"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qo‘yish</w:t>
            </w:r>
            <w:r w:rsidR="00AD49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26" w:type="dxa"/>
          </w:tcPr>
          <w:p w14:paraId="406C3CC2" w14:textId="19AF0F3B" w:rsidR="00771B43" w:rsidRPr="002A66AB" w:rsidRDefault="00771B43" w:rsidP="00771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2023 </w:t>
            </w:r>
            <w:r w:rsidR="004567F6"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yil</w:t>
            </w:r>
            <w:r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14:paraId="79A42E48" w14:textId="28842276" w:rsidR="007F40FC" w:rsidRPr="002A66AB" w:rsidRDefault="004567F6" w:rsidP="00771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mart</w:t>
            </w:r>
            <w:r w:rsidR="00771B43"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aprel</w:t>
            </w:r>
          </w:p>
        </w:tc>
        <w:tc>
          <w:tcPr>
            <w:tcW w:w="1985" w:type="dxa"/>
          </w:tcPr>
          <w:p w14:paraId="260BAC15" w14:textId="53377BBB" w:rsidR="009117F3" w:rsidRDefault="004567F6" w:rsidP="00911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</w:t>
            </w:r>
            <w:r w:rsidR="009117F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Sulaymonov</w:t>
            </w:r>
          </w:p>
          <w:p w14:paraId="2A9081A2" w14:textId="032B2023" w:rsidR="007F40FC" w:rsidRPr="007F40FC" w:rsidRDefault="004567F6" w:rsidP="00911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</w:t>
            </w:r>
            <w:r w:rsidR="009117F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Xusanov</w:t>
            </w:r>
          </w:p>
        </w:tc>
      </w:tr>
      <w:tr w:rsidR="00771B43" w:rsidRPr="007F40FC" w14:paraId="2B09EA89" w14:textId="77777777" w:rsidTr="007E697B">
        <w:tc>
          <w:tcPr>
            <w:tcW w:w="704" w:type="dxa"/>
          </w:tcPr>
          <w:p w14:paraId="69F4C113" w14:textId="6C21B7FA" w:rsidR="00771B43" w:rsidRPr="0017666E" w:rsidRDefault="005026A0" w:rsidP="00AF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  <w:r w:rsidR="0017666E" w:rsidRPr="00176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14:paraId="6D9FE338" w14:textId="748D9E96" w:rsidR="00771B43" w:rsidRPr="007F40FC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Xo‘jalik</w:t>
            </w:r>
            <w:r w:rsidR="00771B4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yurituvchi</w:t>
            </w:r>
            <w:r w:rsidR="00771B4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sub’ektlarning</w:t>
            </w:r>
            <w:r w:rsidR="00771B4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to‘lovga</w:t>
            </w:r>
            <w:r w:rsidR="00771B4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qobiliyatsiz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deb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topilganligi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to‘g‘risidagi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ma’lumotlarni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Yagona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interaktiv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xizmatlari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portalida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joriy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qilish</w:t>
            </w:r>
            <w:r w:rsidR="007A64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771B4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245" w:type="dxa"/>
          </w:tcPr>
          <w:p w14:paraId="29DCDC12" w14:textId="2BE57A36" w:rsidR="00771B43" w:rsidRPr="00AD4915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Yagona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interaktiv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xizmatlari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portali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orqali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xizmatini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ko‘rsatishni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yo‘lga</w:t>
            </w:r>
            <w:r w:rsidR="000C3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qo‘yish</w:t>
            </w:r>
            <w:r w:rsidR="00AD4915" w:rsidRPr="00AD49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26" w:type="dxa"/>
          </w:tcPr>
          <w:p w14:paraId="74308615" w14:textId="4EEA3244" w:rsidR="000C3AF1" w:rsidRPr="002A66AB" w:rsidRDefault="000C3AF1" w:rsidP="000C3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2023 </w:t>
            </w:r>
            <w:r w:rsidR="004567F6"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yil</w:t>
            </w:r>
            <w:r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14:paraId="18F37AC7" w14:textId="702ACBED" w:rsidR="00771B43" w:rsidRPr="002A66AB" w:rsidRDefault="004567F6" w:rsidP="000C3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A66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aprel</w:t>
            </w:r>
          </w:p>
        </w:tc>
        <w:tc>
          <w:tcPr>
            <w:tcW w:w="1985" w:type="dxa"/>
          </w:tcPr>
          <w:p w14:paraId="1F5EEE3F" w14:textId="1C70689C" w:rsidR="009117F3" w:rsidRDefault="004567F6" w:rsidP="00911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</w:t>
            </w:r>
            <w:r w:rsidR="009117F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Sulaymonov</w:t>
            </w:r>
          </w:p>
          <w:p w14:paraId="4FB9EEC5" w14:textId="582A8263" w:rsidR="00771B43" w:rsidRPr="007F40FC" w:rsidRDefault="004567F6" w:rsidP="00911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</w:t>
            </w:r>
            <w:r w:rsidR="009117F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Taxirov</w:t>
            </w:r>
          </w:p>
        </w:tc>
      </w:tr>
      <w:tr w:rsidR="00AF72A7" w:rsidRPr="00036BD1" w14:paraId="24846477" w14:textId="77777777" w:rsidTr="007E697B">
        <w:tc>
          <w:tcPr>
            <w:tcW w:w="704" w:type="dxa"/>
          </w:tcPr>
          <w:p w14:paraId="7BEE930D" w14:textId="649BEBF4" w:rsidR="00AF72A7" w:rsidRPr="0017666E" w:rsidRDefault="005026A0" w:rsidP="00AF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76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4</w:t>
            </w:r>
            <w:r w:rsidR="0017666E" w:rsidRPr="00176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961" w:type="dxa"/>
          </w:tcPr>
          <w:p w14:paraId="0A8C59EE" w14:textId="6C9A5D26" w:rsidR="00AF72A7" w:rsidRPr="00AD4915" w:rsidRDefault="00BA7D9B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Xususiylashtirish dasturlarining mazmun-mohiyatini joylardagi keng ommaga yetkazish maqsadida tadbirkorlar, ishbilarmonlar, investorlar va OAV vakillari ishtirokida </w:t>
            </w:r>
            <w:r w:rsidR="007151E9"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barcha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viloyatlarda xususiylashtirilishi belgilangan davlat aktivlari bo‘yicha “Roadshow</w:t>
            </w:r>
            <w:bookmarkStart w:id="0" w:name="_GoBack"/>
            <w:bookmarkEnd w:id="0"/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 taqdimotlari hamda press-turlar tashkil qili</w:t>
            </w:r>
            <w:r w:rsidR="007151E9"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</w:t>
            </w:r>
            <w:r w:rsidR="007A64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245" w:type="dxa"/>
          </w:tcPr>
          <w:p w14:paraId="4562AAD8" w14:textId="51114676" w:rsidR="00AF72A7" w:rsidRPr="00AD4915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Alohida</w:t>
            </w:r>
            <w:r w:rsidR="007151E9"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grafik</w:t>
            </w:r>
            <w:r w:rsidR="007151E9"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asosida</w:t>
            </w:r>
            <w:r w:rsidR="00036BD1"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Qoraqalpog‘iston</w:t>
            </w:r>
            <w:r w:rsidR="00036BD1"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Respublikasi</w:t>
            </w:r>
            <w:r w:rsidR="00036BD1"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viloyatlar</w:t>
            </w:r>
            <w:r w:rsidR="00036BD1"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036BD1"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Toshkent</w:t>
            </w:r>
            <w:r w:rsidR="00036BD1"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shahrida</w:t>
            </w:r>
            <w:r w:rsidR="00036BD1"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“Roadshow</w:t>
            </w:r>
            <w:r w:rsidR="00AD49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="00036BD1"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taqdimotlari hamda press-turlar tashkil qilish</w:t>
            </w:r>
            <w:r w:rsidR="00AD49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26" w:type="dxa"/>
          </w:tcPr>
          <w:p w14:paraId="754100D3" w14:textId="67D57756" w:rsidR="00AF72A7" w:rsidRPr="00036BD1" w:rsidRDefault="004567F6" w:rsidP="00AF7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Yil</w:t>
            </w:r>
            <w:r w:rsidR="009117F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davomida</w:t>
            </w:r>
          </w:p>
        </w:tc>
        <w:tc>
          <w:tcPr>
            <w:tcW w:w="1985" w:type="dxa"/>
          </w:tcPr>
          <w:p w14:paraId="24BF6A8A" w14:textId="572278DD" w:rsidR="009117F3" w:rsidRDefault="004567F6" w:rsidP="00AF7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</w:t>
            </w:r>
            <w:r w:rsidR="009117F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Oxunov</w:t>
            </w:r>
          </w:p>
          <w:p w14:paraId="745AD197" w14:textId="77777777" w:rsidR="009117F3" w:rsidRDefault="004567F6" w:rsidP="00AF7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  <w:r w:rsidR="009117F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Abdujambulov</w:t>
            </w:r>
          </w:p>
          <w:p w14:paraId="59C98F1E" w14:textId="456EAE03" w:rsidR="00007C95" w:rsidRPr="00007C95" w:rsidRDefault="0004203B" w:rsidP="00AF7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hududiy</w:t>
            </w:r>
            <w:r w:rsidR="00007C9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boshqarmalar</w:t>
            </w:r>
            <w:r w:rsidR="00007C9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boshliqlari</w:t>
            </w:r>
          </w:p>
        </w:tc>
      </w:tr>
      <w:tr w:rsidR="004567F6" w:rsidRPr="00036BD1" w14:paraId="4B68E687" w14:textId="77777777" w:rsidTr="007E697B">
        <w:tc>
          <w:tcPr>
            <w:tcW w:w="704" w:type="dxa"/>
          </w:tcPr>
          <w:p w14:paraId="0A839AD9" w14:textId="4CB7CC7A" w:rsidR="004567F6" w:rsidRPr="0017666E" w:rsidRDefault="004567F6" w:rsidP="0045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76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  <w:r w:rsidR="0017666E" w:rsidRPr="00176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961" w:type="dxa"/>
          </w:tcPr>
          <w:p w14:paraId="75D82941" w14:textId="04E64DE6" w:rsidR="004567F6" w:rsidRPr="00036BD1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adbirkorlar, ishbilarmonlar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va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investorlar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dan kelib tushayotgan savol va takliflarni tahlil qilish</w:t>
            </w:r>
            <w:r w:rsidR="007A64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245" w:type="dxa"/>
          </w:tcPr>
          <w:p w14:paraId="00B3AC30" w14:textId="2D48458C" w:rsidR="004567F6" w:rsidRPr="00036BD1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adbirkorlar, ishbilarmonlar, investorlar va OAV vakillari ishtirokida barcha viloyatlarda xususiylashtirilishi belgilangan davlat aktivlari bo‘yicha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tashkil qilinayotgan 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“Roadshow</w:t>
            </w:r>
            <w:r w:rsidR="00AD49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taqdimotlari hamda press-turlar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 tadbirkorlardan kelib tushayotgan savollar va takliflarni tahlil qilgan holda me’yoriy hujjatlarga o‘zgartirish va qo‘shimchalar kiritish bo‘yicha takliflar tayyorlash</w:t>
            </w:r>
            <w:r w:rsidR="00AD49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26" w:type="dxa"/>
          </w:tcPr>
          <w:p w14:paraId="07E14D70" w14:textId="13E22982" w:rsidR="004567F6" w:rsidRDefault="004567F6" w:rsidP="00456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Yil davomida</w:t>
            </w:r>
          </w:p>
        </w:tc>
        <w:tc>
          <w:tcPr>
            <w:tcW w:w="1985" w:type="dxa"/>
          </w:tcPr>
          <w:p w14:paraId="6964644E" w14:textId="3CD12BB8" w:rsidR="004567F6" w:rsidRDefault="004567F6" w:rsidP="00456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Tarkibiy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bo‘linmalar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rahbarlari</w:t>
            </w:r>
          </w:p>
        </w:tc>
      </w:tr>
      <w:tr w:rsidR="00A95C0D" w:rsidRPr="008D02E8" w14:paraId="6F66AD63" w14:textId="77777777" w:rsidTr="007E697B">
        <w:tc>
          <w:tcPr>
            <w:tcW w:w="704" w:type="dxa"/>
          </w:tcPr>
          <w:p w14:paraId="57260368" w14:textId="422C402F" w:rsidR="00A95C0D" w:rsidRPr="0017666E" w:rsidRDefault="00A95C0D" w:rsidP="00A9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76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6.</w:t>
            </w:r>
          </w:p>
        </w:tc>
        <w:tc>
          <w:tcPr>
            <w:tcW w:w="4961" w:type="dxa"/>
          </w:tcPr>
          <w:p w14:paraId="685D84F8" w14:textId="3CDF7C2F" w:rsidR="00A95C0D" w:rsidRPr="007B0EF4" w:rsidRDefault="00A95C0D" w:rsidP="00A95C0D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Davaktiv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agentligi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faoliyati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bo‘yicha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OAV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ijtimoiy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tarmoqlarda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to‘g‘ridan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to‘g‘ri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muloqot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maydonchalarini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tashkil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etish</w:t>
            </w:r>
            <w:r w:rsidR="007A64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245" w:type="dxa"/>
          </w:tcPr>
          <w:p w14:paraId="66C31647" w14:textId="3CFDF1B8" w:rsidR="00A95C0D" w:rsidRPr="00D168C3" w:rsidRDefault="00A95C0D" w:rsidP="00A95C0D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Davaktiv agentligining </w:t>
            </w:r>
            <w:r w:rsidRPr="00806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rasmiy veb-sayti va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ijtimoiy tarmoqlardagi saxifalarida chiqishlar qilish</w:t>
            </w:r>
            <w:r w:rsidRPr="002D5C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brifing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matbuot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anjumanlari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tashkil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qilish</w:t>
            </w:r>
            <w:r w:rsidRPr="002D5C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Hududlarda tadbirkorlar, ishbilarmonlar va keng aholi bilan “Roadshow” taqdimotlari orqali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to‘g‘ridan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to‘g‘ri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muloqot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maydonchalarini</w:t>
            </w:r>
            <w:r w:rsidRPr="00D168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2D5C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yaratish va yo’lga qo’yish.</w:t>
            </w:r>
          </w:p>
        </w:tc>
        <w:tc>
          <w:tcPr>
            <w:tcW w:w="2126" w:type="dxa"/>
          </w:tcPr>
          <w:p w14:paraId="653A891E" w14:textId="2680F380" w:rsidR="00A95C0D" w:rsidRDefault="00A95C0D" w:rsidP="00A95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Yil davomida</w:t>
            </w:r>
          </w:p>
        </w:tc>
        <w:tc>
          <w:tcPr>
            <w:tcW w:w="1985" w:type="dxa"/>
          </w:tcPr>
          <w:p w14:paraId="7081A612" w14:textId="77777777" w:rsidR="00A95C0D" w:rsidRDefault="00A95C0D" w:rsidP="00A95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I.Abdujambulov</w:t>
            </w:r>
          </w:p>
          <w:p w14:paraId="11AB303F" w14:textId="7295EE0E" w:rsidR="00A95C0D" w:rsidRDefault="00A95C0D" w:rsidP="00A95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Tarkibiy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bo‘linmalar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4203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 hududiy</w:t>
            </w:r>
            <w:r w:rsidR="0004203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4203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boshqarmalar</w:t>
            </w:r>
            <w:r w:rsidR="0004203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rahbarlari</w:t>
            </w:r>
          </w:p>
        </w:tc>
      </w:tr>
      <w:tr w:rsidR="004567F6" w:rsidRPr="008D02E8" w14:paraId="7DC0F6B0" w14:textId="77777777" w:rsidTr="007E697B">
        <w:tc>
          <w:tcPr>
            <w:tcW w:w="704" w:type="dxa"/>
          </w:tcPr>
          <w:p w14:paraId="583B908B" w14:textId="36A71913" w:rsidR="004567F6" w:rsidRPr="0017666E" w:rsidRDefault="004567F6" w:rsidP="0045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76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  <w:r w:rsidR="0017666E" w:rsidRPr="00176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961" w:type="dxa"/>
          </w:tcPr>
          <w:p w14:paraId="0025096E" w14:textId="64ABEA8B" w:rsidR="004567F6" w:rsidRPr="00036BD1" w:rsidRDefault="004567F6" w:rsidP="000B3FD3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Xodimlarning muomala madaniyatini yuksaltirish, ma’naviy va siyosiy ongini o‘stirish maqsadida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Davaktiv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agentligi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markaziy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apparati</w:t>
            </w:r>
            <w:r w:rsidRPr="00E948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xodimlari uchun ma’rifiy tadbirlar tashkil etish va Davaktiv agentligida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faoliyat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yuritayotgan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kutubxonani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turli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iqtisodiy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ijtimoiy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siyosiy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adabiyotlar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bilan</w:t>
            </w:r>
            <w:r w:rsidRPr="00036B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to‘ldirish</w:t>
            </w:r>
            <w:r w:rsidR="007A64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245" w:type="dxa"/>
          </w:tcPr>
          <w:p w14:paraId="79C729B2" w14:textId="79D21B1E" w:rsidR="004567F6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Davaktiv agentligiga taniqli shoirlar, san’at ustalari va sportchilarni taklif qilgan holda suhbatlar tashkil etish</w:t>
            </w:r>
          </w:p>
          <w:p w14:paraId="1A19FF85" w14:textId="77777777" w:rsidR="004567F6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27E767C7" w14:textId="02EF8F8C" w:rsidR="004567F6" w:rsidRPr="00036BD1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Belgilangan tartibda shartnoma asosida kutubxona uchun adabiyotlar xarid qilish</w:t>
            </w:r>
            <w:r w:rsidR="007A64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26" w:type="dxa"/>
          </w:tcPr>
          <w:p w14:paraId="642D0F01" w14:textId="55B0721C" w:rsidR="004567F6" w:rsidRDefault="004567F6" w:rsidP="00456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Reja asosida</w:t>
            </w:r>
          </w:p>
          <w:p w14:paraId="7BDF256D" w14:textId="77777777" w:rsidR="004567F6" w:rsidRDefault="004567F6" w:rsidP="00456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6ABA1B02" w14:textId="77777777" w:rsidR="004567F6" w:rsidRDefault="004567F6" w:rsidP="00456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3D198521" w14:textId="77777777" w:rsidR="004567F6" w:rsidRDefault="004567F6" w:rsidP="00456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0AC6CE36" w14:textId="4333E4C6" w:rsidR="004567F6" w:rsidRPr="007F40FC" w:rsidRDefault="004567F6" w:rsidP="00456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yil</w:t>
            </w:r>
            <w:r w:rsidRPr="007F40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14:paraId="7384F437" w14:textId="34DE32BE" w:rsidR="004567F6" w:rsidRPr="00036BD1" w:rsidRDefault="004567F6" w:rsidP="00456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D02E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iyun</w:t>
            </w:r>
          </w:p>
        </w:tc>
        <w:tc>
          <w:tcPr>
            <w:tcW w:w="1985" w:type="dxa"/>
          </w:tcPr>
          <w:p w14:paraId="1280776F" w14:textId="06FD96D2" w:rsidR="004567F6" w:rsidRDefault="004567F6" w:rsidP="00456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F.To‘raev</w:t>
            </w:r>
          </w:p>
          <w:p w14:paraId="62DA0CC8" w14:textId="210E8D5B" w:rsidR="004567F6" w:rsidRDefault="004567F6" w:rsidP="00456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Q.Abduxolikov</w:t>
            </w:r>
          </w:p>
          <w:p w14:paraId="4E99CFAD" w14:textId="12B71762" w:rsidR="004567F6" w:rsidRPr="00036BD1" w:rsidRDefault="004567F6" w:rsidP="00456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D.Isroilov</w:t>
            </w:r>
          </w:p>
        </w:tc>
      </w:tr>
      <w:tr w:rsidR="004567F6" w:rsidRPr="00431148" w14:paraId="0921C3DA" w14:textId="77777777" w:rsidTr="007E697B">
        <w:tc>
          <w:tcPr>
            <w:tcW w:w="704" w:type="dxa"/>
          </w:tcPr>
          <w:p w14:paraId="0C4A6333" w14:textId="4379CB1D" w:rsidR="004567F6" w:rsidRPr="0017666E" w:rsidRDefault="004567F6" w:rsidP="0045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76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  <w:r w:rsidR="0017666E" w:rsidRPr="001766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961" w:type="dxa"/>
          </w:tcPr>
          <w:p w14:paraId="1CCC511B" w14:textId="3251BDAC" w:rsidR="004567F6" w:rsidRPr="005026A0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Davaktiv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agentligi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faoliyati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sohalari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bo‘yicha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ko‘rsatiladigan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xizmatlari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turlarini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ko‘paytirish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hamda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sifati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shaffofligini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oshirib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borish</w:t>
            </w:r>
            <w:r w:rsidR="007A64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245" w:type="dxa"/>
          </w:tcPr>
          <w:p w14:paraId="65502769" w14:textId="3801ECA0" w:rsidR="004567F6" w:rsidRPr="005026A0" w:rsidRDefault="004567F6" w:rsidP="00AD491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xizmatlari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turlarini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ko‘paytirish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bo‘yicha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takliflar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ishlab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chiqish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shaffofligini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oshirish</w:t>
            </w:r>
            <w:r w:rsidR="007A64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26" w:type="dxa"/>
          </w:tcPr>
          <w:p w14:paraId="4F04E699" w14:textId="5EF8E06D" w:rsidR="004567F6" w:rsidRPr="005026A0" w:rsidRDefault="004567F6" w:rsidP="00456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Doimiy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985" w:type="dxa"/>
          </w:tcPr>
          <w:p w14:paraId="0A0F544D" w14:textId="0C2EA615" w:rsidR="004567F6" w:rsidRPr="005026A0" w:rsidRDefault="004567F6" w:rsidP="00456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Tarkibiy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bo‘linmalar</w:t>
            </w:r>
            <w:r w:rsidRPr="005026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rahbarlari</w:t>
            </w:r>
          </w:p>
        </w:tc>
      </w:tr>
    </w:tbl>
    <w:p w14:paraId="61F2C91E" w14:textId="77777777" w:rsidR="00AF72A7" w:rsidRPr="00431148" w:rsidRDefault="00AF72A7" w:rsidP="000B3FD3">
      <w:pPr>
        <w:jc w:val="center"/>
        <w:rPr>
          <w:lang w:val="uz-Cyrl-UZ"/>
        </w:rPr>
      </w:pPr>
    </w:p>
    <w:sectPr w:rsidR="00AF72A7" w:rsidRPr="00431148" w:rsidSect="00214B5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4A"/>
    <w:rsid w:val="00007C95"/>
    <w:rsid w:val="00036BD1"/>
    <w:rsid w:val="0004203B"/>
    <w:rsid w:val="000575CF"/>
    <w:rsid w:val="0006209D"/>
    <w:rsid w:val="000A63A9"/>
    <w:rsid w:val="000B3FD3"/>
    <w:rsid w:val="000C3AF1"/>
    <w:rsid w:val="00103ECE"/>
    <w:rsid w:val="001201E0"/>
    <w:rsid w:val="0017666E"/>
    <w:rsid w:val="001C1F51"/>
    <w:rsid w:val="001D5207"/>
    <w:rsid w:val="00214B50"/>
    <w:rsid w:val="0029253D"/>
    <w:rsid w:val="002A4517"/>
    <w:rsid w:val="002A66AB"/>
    <w:rsid w:val="002C277E"/>
    <w:rsid w:val="00431148"/>
    <w:rsid w:val="00453710"/>
    <w:rsid w:val="004567F6"/>
    <w:rsid w:val="004D20C8"/>
    <w:rsid w:val="005026A0"/>
    <w:rsid w:val="00575403"/>
    <w:rsid w:val="005A1D63"/>
    <w:rsid w:val="005C0A25"/>
    <w:rsid w:val="00663171"/>
    <w:rsid w:val="00696522"/>
    <w:rsid w:val="006B3ED4"/>
    <w:rsid w:val="007151E9"/>
    <w:rsid w:val="00771B43"/>
    <w:rsid w:val="007A6477"/>
    <w:rsid w:val="007B0EF4"/>
    <w:rsid w:val="007E697B"/>
    <w:rsid w:val="007F40FC"/>
    <w:rsid w:val="00834A5C"/>
    <w:rsid w:val="008D02E8"/>
    <w:rsid w:val="009117F3"/>
    <w:rsid w:val="009A335B"/>
    <w:rsid w:val="009B485E"/>
    <w:rsid w:val="009D471F"/>
    <w:rsid w:val="00A95C0D"/>
    <w:rsid w:val="00AD4915"/>
    <w:rsid w:val="00AF72A7"/>
    <w:rsid w:val="00B1575A"/>
    <w:rsid w:val="00B51AD0"/>
    <w:rsid w:val="00BA7D9B"/>
    <w:rsid w:val="00C6014A"/>
    <w:rsid w:val="00CE196D"/>
    <w:rsid w:val="00D168C3"/>
    <w:rsid w:val="00DA68D7"/>
    <w:rsid w:val="00DD4EB0"/>
    <w:rsid w:val="00DD6500"/>
    <w:rsid w:val="00DF0700"/>
    <w:rsid w:val="00E53B07"/>
    <w:rsid w:val="00E62E3A"/>
    <w:rsid w:val="00E9480E"/>
    <w:rsid w:val="00E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A8D3"/>
  <w15:chartTrackingRefBased/>
  <w15:docId w15:val="{B896652E-E037-42E3-8B00-D540023A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Furkat A. Fazilov</dc:creator>
  <cp:keywords/>
  <dc:description/>
  <cp:lastModifiedBy>Furkat A. Fazilov</cp:lastModifiedBy>
  <cp:revision>2</cp:revision>
  <cp:lastPrinted>2023-07-06T06:57:00Z</cp:lastPrinted>
  <dcterms:created xsi:type="dcterms:W3CDTF">2023-07-06T06:59:00Z</dcterms:created>
  <dcterms:modified xsi:type="dcterms:W3CDTF">2023-07-06T06:59:00Z</dcterms:modified>
</cp:coreProperties>
</file>